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446F9D" w:rsidRDefault="00FE5799" w:rsidP="00FE5799">
      <w:pPr>
        <w:pStyle w:val="Header"/>
        <w:tabs>
          <w:tab w:val="clear" w:pos="4536"/>
        </w:tabs>
        <w:rPr>
          <w:i/>
        </w:rPr>
      </w:pPr>
      <w:r w:rsidRPr="00446F9D">
        <w:t>TSG-RAN WG1 #</w:t>
      </w:r>
      <w:r>
        <w:t>84bis</w:t>
      </w:r>
      <w:r w:rsidRPr="00446F9D">
        <w:tab/>
        <w:t>R1-</w:t>
      </w:r>
      <w:r>
        <w:t>16</w:t>
      </w:r>
      <w:r w:rsidR="00B51BC5">
        <w:t>3256</w:t>
      </w:r>
      <w:bookmarkStart w:id="0" w:name="_GoBack"/>
      <w:bookmarkEnd w:id="0"/>
    </w:p>
    <w:p w:rsidR="00FE5799" w:rsidRPr="000833FA" w:rsidRDefault="00FE5799" w:rsidP="00FE5799">
      <w:pPr>
        <w:pStyle w:val="Header"/>
        <w:rPr>
          <w:color w:val="000000"/>
        </w:rPr>
      </w:pPr>
      <w:r>
        <w:t>Busan</w:t>
      </w:r>
      <w:r w:rsidRPr="000833FA">
        <w:t xml:space="preserve">, </w:t>
      </w:r>
      <w:r>
        <w:t>South Korea</w:t>
      </w:r>
      <w:r w:rsidRPr="000833FA">
        <w:t>,</w:t>
      </w:r>
      <w:r>
        <w:t xml:space="preserve"> April 11 – 15, 2016</w:t>
      </w:r>
    </w:p>
    <w:p w:rsidR="00FE5799" w:rsidRPr="000833FA" w:rsidRDefault="00FE5799" w:rsidP="00FE5799">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r w:rsidR="00360BA6">
        <w:t xml:space="preserve">, </w:t>
      </w:r>
      <w:r w:rsidR="00DB0C55">
        <w:t>NTT DOCOMO</w:t>
      </w:r>
      <w:r w:rsidR="00F27493">
        <w:t>, Samsung</w:t>
      </w:r>
    </w:p>
    <w:p w:rsidR="00FE5799" w:rsidRPr="00F64D4A" w:rsidRDefault="00FE5799" w:rsidP="00FE5799">
      <w:pPr>
        <w:pStyle w:val="Header"/>
        <w:tabs>
          <w:tab w:val="clear" w:pos="4536"/>
          <w:tab w:val="left" w:pos="1800"/>
        </w:tabs>
      </w:pPr>
      <w:r w:rsidRPr="0003368D">
        <w:t>Title:</w:t>
      </w:r>
      <w:bookmarkStart w:id="1" w:name="Title"/>
      <w:bookmarkEnd w:id="1"/>
      <w:r w:rsidRPr="0003368D">
        <w:tab/>
      </w:r>
      <w:r w:rsidR="002908A9">
        <w:t>Removing square brackets in the O2I penetration loss model</w:t>
      </w:r>
      <w:r w:rsidR="00962D32">
        <w:t>ing</w:t>
      </w:r>
      <w:r w:rsidR="007D6E08">
        <w:t>, part 2</w:t>
      </w:r>
    </w:p>
    <w:p w:rsidR="00FE5799" w:rsidRPr="0003368D" w:rsidRDefault="00FE5799" w:rsidP="00FE5799">
      <w:pPr>
        <w:pStyle w:val="Header"/>
        <w:tabs>
          <w:tab w:val="left" w:pos="1800"/>
        </w:tabs>
      </w:pPr>
      <w:r w:rsidRPr="0003368D">
        <w:t>Agenda Item:</w:t>
      </w:r>
      <w:bookmarkStart w:id="2" w:name="Source"/>
      <w:bookmarkEnd w:id="2"/>
      <w:r w:rsidRPr="0003368D">
        <w:tab/>
      </w:r>
      <w:r w:rsidR="00962D32">
        <w:t>8.2.1</w:t>
      </w:r>
    </w:p>
    <w:p w:rsidR="00FE5799" w:rsidRPr="0003368D" w:rsidRDefault="00FE5799" w:rsidP="00FE5799">
      <w:pPr>
        <w:pStyle w:val="Header"/>
        <w:tabs>
          <w:tab w:val="left" w:pos="1800"/>
        </w:tabs>
      </w:pPr>
      <w:r w:rsidRPr="0003368D">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4A3F44" w:rsidRDefault="001639B5" w:rsidP="004A3F44">
      <w:pPr>
        <w:pStyle w:val="Heading1"/>
      </w:pPr>
      <w:r>
        <w:t>Introduction</w:t>
      </w:r>
    </w:p>
    <w:p w:rsidR="00540320" w:rsidRDefault="00540320" w:rsidP="00A55C73">
      <w:pPr>
        <w:pStyle w:val="BodyText"/>
      </w:pPr>
      <w:r>
        <w:t xml:space="preserve">In the Ad-Hoc meeting in Ljubljana two agreements </w:t>
      </w:r>
      <w:r>
        <w:fldChar w:fldCharType="begin"/>
      </w:r>
      <w:r>
        <w:instrText xml:space="preserve"> REF _Ref447138705 \r \h </w:instrText>
      </w:r>
      <w:r>
        <w:fldChar w:fldCharType="separate"/>
      </w:r>
      <w:r>
        <w:t>[1]</w:t>
      </w:r>
      <w:r>
        <w:fldChar w:fldCharType="end"/>
      </w:r>
      <w:r>
        <w:t>,</w:t>
      </w:r>
      <w:r>
        <w:fldChar w:fldCharType="begin"/>
      </w:r>
      <w:r>
        <w:instrText xml:space="preserve"> REF _Ref447138707 \r \h </w:instrText>
      </w:r>
      <w:r>
        <w:fldChar w:fldCharType="separate"/>
      </w:r>
      <w:r>
        <w:t>[2]</w:t>
      </w:r>
      <w:r>
        <w:fldChar w:fldCharType="end"/>
      </w:r>
      <w:r>
        <w:t xml:space="preserve"> were made related to building penetration loss modeling. In the final agreement, the following table is </w:t>
      </w:r>
      <w:r w:rsidR="00BA72EC">
        <w:t>provided</w:t>
      </w:r>
      <w:r>
        <w:t xml:space="preserve"> where there are square brackets around some terms. </w:t>
      </w:r>
    </w:p>
    <w:tbl>
      <w:tblPr>
        <w:tblStyle w:val="TableGrid"/>
        <w:tblW w:w="0" w:type="auto"/>
        <w:tblLook w:val="04A0" w:firstRow="1" w:lastRow="0" w:firstColumn="1" w:lastColumn="0" w:noHBand="0" w:noVBand="1"/>
      </w:tblPr>
      <w:tblGrid>
        <w:gridCol w:w="2310"/>
        <w:gridCol w:w="3327"/>
        <w:gridCol w:w="1295"/>
        <w:gridCol w:w="2311"/>
      </w:tblGrid>
      <w:tr w:rsidR="00540320" w:rsidRPr="0029608A" w:rsidTr="0079450A">
        <w:tc>
          <w:tcPr>
            <w:tcW w:w="2310" w:type="dxa"/>
          </w:tcPr>
          <w:p w:rsidR="00540320" w:rsidRPr="0029608A" w:rsidRDefault="00540320" w:rsidP="0079450A">
            <w:pPr>
              <w:rPr>
                <w:rFonts w:ascii="Arial" w:hAnsi="Arial" w:cs="Arial"/>
                <w:sz w:val="22"/>
                <w:szCs w:val="22"/>
                <w:lang w:eastAsia="ja-JP"/>
              </w:rPr>
            </w:pPr>
            <w:r w:rsidRPr="0029608A">
              <w:rPr>
                <w:rFonts w:ascii="Arial" w:hAnsi="Arial" w:cs="Arial"/>
                <w:sz w:val="22"/>
                <w:szCs w:val="22"/>
                <w:lang w:eastAsia="ja-JP"/>
              </w:rPr>
              <w:t> </w:t>
            </w:r>
          </w:p>
        </w:tc>
        <w:tc>
          <w:tcPr>
            <w:tcW w:w="3327" w:type="dxa"/>
          </w:tcPr>
          <w:p w:rsidR="00540320" w:rsidRPr="0029608A" w:rsidRDefault="00540320" w:rsidP="0079450A">
            <w:pPr>
              <w:rPr>
                <w:rFonts w:ascii="Arial" w:hAnsi="Arial" w:cs="Arial"/>
                <w:sz w:val="22"/>
                <w:szCs w:val="22"/>
                <w:lang w:eastAsia="ja-JP"/>
              </w:rPr>
            </w:pPr>
            <w:r w:rsidRPr="0029608A">
              <w:rPr>
                <w:rFonts w:ascii="Arial" w:hAnsi="Arial" w:cs="Arial"/>
                <w:sz w:val="22"/>
                <w:szCs w:val="22"/>
                <w:lang w:eastAsia="ja-JP"/>
              </w:rPr>
              <w:t xml:space="preserve">Path loss through external wall: </w:t>
            </w:r>
            <m:oMath>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PL</m:t>
                  </m:r>
                </m:e>
                <m:sub>
                  <m:r>
                    <m:rPr>
                      <m:sty m:val="p"/>
                    </m:rPr>
                    <w:rPr>
                      <w:rFonts w:ascii="Cambria Math" w:hAnsi="Cambria Math" w:cs="Arial"/>
                      <w:sz w:val="22"/>
                      <w:szCs w:val="22"/>
                      <w:lang w:eastAsia="ja-JP"/>
                    </w:rPr>
                    <m:t>tw</m:t>
                  </m:r>
                </m:sub>
              </m:sSub>
            </m:oMath>
            <w:r w:rsidRPr="0029608A">
              <w:rPr>
                <w:rFonts w:ascii="Arial" w:hAnsi="Arial" w:cs="Arial"/>
                <w:sz w:val="22"/>
                <w:szCs w:val="22"/>
                <w:lang w:eastAsia="ja-JP"/>
              </w:rPr>
              <w:t xml:space="preserve"> [dB]</w:t>
            </w:r>
          </w:p>
        </w:tc>
        <w:tc>
          <w:tcPr>
            <w:tcW w:w="1295" w:type="dxa"/>
          </w:tcPr>
          <w:p w:rsidR="00540320" w:rsidRPr="0029608A" w:rsidRDefault="00540320" w:rsidP="0079450A">
            <w:pPr>
              <w:rPr>
                <w:rFonts w:ascii="Arial" w:hAnsi="Arial" w:cs="Arial"/>
                <w:sz w:val="22"/>
                <w:szCs w:val="22"/>
                <w:lang w:eastAsia="ja-JP"/>
              </w:rPr>
            </w:pPr>
            <w:r w:rsidRPr="0029608A">
              <w:rPr>
                <w:rFonts w:ascii="Arial" w:hAnsi="Arial" w:cs="Arial"/>
                <w:sz w:val="22"/>
                <w:szCs w:val="22"/>
                <w:lang w:eastAsia="ja-JP"/>
              </w:rPr>
              <w:t xml:space="preserve">Indoor loss: </w:t>
            </w:r>
            <m:oMath>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PL</m:t>
                  </m:r>
                </m:e>
                <m:sub>
                  <m:r>
                    <m:rPr>
                      <m:sty m:val="p"/>
                    </m:rPr>
                    <w:rPr>
                      <w:rFonts w:ascii="Cambria Math" w:hAnsi="Cambria Math" w:cs="Arial"/>
                      <w:sz w:val="22"/>
                      <w:szCs w:val="22"/>
                      <w:lang w:eastAsia="ja-JP"/>
                    </w:rPr>
                    <m:t>in</m:t>
                  </m:r>
                </m:sub>
              </m:sSub>
            </m:oMath>
            <w:r w:rsidRPr="0029608A">
              <w:rPr>
                <w:rFonts w:ascii="Arial" w:hAnsi="Arial" w:cs="Arial"/>
                <w:sz w:val="22"/>
                <w:szCs w:val="22"/>
                <w:lang w:eastAsia="ja-JP"/>
              </w:rPr>
              <w:t xml:space="preserve"> [dB/m]</w:t>
            </w:r>
          </w:p>
        </w:tc>
        <w:tc>
          <w:tcPr>
            <w:tcW w:w="2311" w:type="dxa"/>
          </w:tcPr>
          <w:p w:rsidR="00540320" w:rsidRPr="0029608A" w:rsidRDefault="00540320" w:rsidP="0079450A">
            <w:pPr>
              <w:rPr>
                <w:rFonts w:ascii="Arial" w:hAnsi="Arial" w:cs="Arial"/>
                <w:sz w:val="22"/>
                <w:szCs w:val="22"/>
                <w:lang w:eastAsia="ja-JP"/>
              </w:rPr>
            </w:pPr>
            <w:r w:rsidRPr="0029608A">
              <w:rPr>
                <w:rFonts w:ascii="Arial" w:hAnsi="Arial" w:cs="Arial"/>
                <w:sz w:val="22"/>
                <w:szCs w:val="22"/>
                <w:lang w:eastAsia="ja-JP"/>
              </w:rPr>
              <w:t xml:space="preserve">Standard deviation: </w:t>
            </w:r>
            <m:oMath>
              <m:r>
                <m:rPr>
                  <m:sty m:val="p"/>
                </m:rPr>
                <w:rPr>
                  <w:rFonts w:ascii="Cambria Math" w:hAnsi="Cambria Math" w:cs="Arial"/>
                  <w:sz w:val="22"/>
                  <w:szCs w:val="22"/>
                  <w:lang w:eastAsia="ja-JP"/>
                </w:rPr>
                <m:t>σ</m:t>
              </m:r>
            </m:oMath>
            <w:r w:rsidRPr="0029608A">
              <w:rPr>
                <w:rFonts w:ascii="Arial" w:hAnsi="Arial" w:cs="Arial"/>
                <w:sz w:val="22"/>
                <w:szCs w:val="22"/>
                <w:lang w:eastAsia="ja-JP"/>
              </w:rPr>
              <w:t xml:space="preserve"> [dB]</w:t>
            </w:r>
          </w:p>
        </w:tc>
      </w:tr>
      <w:tr w:rsidR="00540320" w:rsidRPr="0029608A" w:rsidTr="0079450A">
        <w:tc>
          <w:tcPr>
            <w:tcW w:w="2310" w:type="dxa"/>
          </w:tcPr>
          <w:p w:rsidR="00540320" w:rsidRPr="0029608A" w:rsidRDefault="00540320" w:rsidP="0079450A">
            <w:pPr>
              <w:rPr>
                <w:rFonts w:ascii="Arial" w:hAnsi="Arial" w:cs="Arial"/>
                <w:sz w:val="22"/>
                <w:szCs w:val="22"/>
                <w:lang w:eastAsia="ja-JP"/>
              </w:rPr>
            </w:pPr>
            <w:r w:rsidRPr="0029608A">
              <w:rPr>
                <w:rFonts w:ascii="Arial" w:hAnsi="Arial" w:cs="Arial"/>
                <w:sz w:val="22"/>
                <w:szCs w:val="22"/>
                <w:lang w:eastAsia="ja-JP"/>
              </w:rPr>
              <w:t>Low loss model</w:t>
            </w:r>
          </w:p>
        </w:tc>
        <w:tc>
          <w:tcPr>
            <w:tcW w:w="3327" w:type="dxa"/>
          </w:tcPr>
          <w:p w:rsidR="00540320" w:rsidRPr="0029608A" w:rsidRDefault="00540320" w:rsidP="0079450A">
            <w:pPr>
              <w:rPr>
                <w:rFonts w:ascii="Arial" w:hAnsi="Arial" w:cs="Arial"/>
                <w:sz w:val="22"/>
                <w:szCs w:val="22"/>
                <w:lang w:eastAsia="ja-JP"/>
              </w:rPr>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tc>
        <w:tc>
          <w:tcPr>
            <w:tcW w:w="1295" w:type="dxa"/>
          </w:tcPr>
          <w:p w:rsidR="00540320" w:rsidRPr="0029608A" w:rsidRDefault="00540320" w:rsidP="0079450A">
            <w:pPr>
              <w:rPr>
                <w:rFonts w:ascii="Arial" w:hAnsi="Arial" w:cs="Arial"/>
                <w:sz w:val="22"/>
                <w:szCs w:val="22"/>
                <w:lang w:eastAsia="ja-JP"/>
              </w:rPr>
            </w:pPr>
            <w:r w:rsidRPr="0029608A">
              <w:rPr>
                <w:rFonts w:ascii="Arial" w:hAnsi="Arial" w:cs="Arial"/>
                <w:sz w:val="22"/>
                <w:szCs w:val="22"/>
                <w:lang w:eastAsia="ja-JP"/>
              </w:rPr>
              <w:t>0.5</w:t>
            </w:r>
          </w:p>
        </w:tc>
        <w:tc>
          <w:tcPr>
            <w:tcW w:w="2311" w:type="dxa"/>
          </w:tcPr>
          <w:p w:rsidR="00540320" w:rsidRPr="0029608A" w:rsidRDefault="00540320" w:rsidP="0079450A">
            <w:pPr>
              <w:rPr>
                <w:rFonts w:ascii="Arial" w:hAnsi="Arial" w:cs="Arial"/>
                <w:sz w:val="22"/>
                <w:szCs w:val="22"/>
                <w:lang w:eastAsia="ja-JP"/>
              </w:rPr>
            </w:pPr>
            <w:r w:rsidRPr="0029608A">
              <w:rPr>
                <w:rFonts w:ascii="Arial" w:hAnsi="Arial" w:cs="Arial"/>
                <w:sz w:val="22"/>
                <w:szCs w:val="22"/>
                <w:lang w:eastAsia="ja-JP"/>
              </w:rPr>
              <w:t>[3]</w:t>
            </w:r>
          </w:p>
        </w:tc>
      </w:tr>
      <w:tr w:rsidR="00540320" w:rsidRPr="0029608A" w:rsidTr="0079450A">
        <w:tc>
          <w:tcPr>
            <w:tcW w:w="2310" w:type="dxa"/>
          </w:tcPr>
          <w:p w:rsidR="00540320" w:rsidRPr="0029608A" w:rsidRDefault="00540320" w:rsidP="0079450A">
            <w:pPr>
              <w:rPr>
                <w:rFonts w:ascii="Arial" w:hAnsi="Arial" w:cs="Arial"/>
                <w:sz w:val="22"/>
                <w:szCs w:val="22"/>
                <w:lang w:eastAsia="ja-JP"/>
              </w:rPr>
            </w:pPr>
            <w:r w:rsidRPr="0029608A">
              <w:rPr>
                <w:rFonts w:ascii="Arial" w:hAnsi="Arial" w:cs="Arial"/>
                <w:sz w:val="22"/>
                <w:szCs w:val="22"/>
                <w:lang w:eastAsia="ja-JP"/>
              </w:rPr>
              <w:t>High loss model</w:t>
            </w:r>
          </w:p>
        </w:tc>
        <w:tc>
          <w:tcPr>
            <w:tcW w:w="3327" w:type="dxa"/>
          </w:tcPr>
          <w:p w:rsidR="00540320" w:rsidRPr="0029608A" w:rsidRDefault="00540320" w:rsidP="0079450A">
            <w:pPr>
              <w:rPr>
                <w:rFonts w:ascii="Arial" w:hAnsi="Arial" w:cs="Arial"/>
                <w:sz w:val="22"/>
                <w:szCs w:val="22"/>
                <w:lang w:eastAsia="ja-JP"/>
              </w:rPr>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IRRglass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tc>
        <w:tc>
          <w:tcPr>
            <w:tcW w:w="1295" w:type="dxa"/>
          </w:tcPr>
          <w:p w:rsidR="00540320" w:rsidRPr="0029608A" w:rsidRDefault="00540320" w:rsidP="0079450A">
            <w:pPr>
              <w:rPr>
                <w:rFonts w:ascii="Arial" w:hAnsi="Arial" w:cs="Arial"/>
                <w:sz w:val="22"/>
                <w:szCs w:val="22"/>
                <w:lang w:eastAsia="ja-JP"/>
              </w:rPr>
            </w:pPr>
            <w:r w:rsidRPr="0029608A">
              <w:rPr>
                <w:rFonts w:ascii="Arial" w:hAnsi="Arial" w:cs="Arial"/>
                <w:sz w:val="22"/>
                <w:szCs w:val="22"/>
                <w:lang w:eastAsia="ja-JP"/>
              </w:rPr>
              <w:t>0.5</w:t>
            </w:r>
          </w:p>
        </w:tc>
        <w:tc>
          <w:tcPr>
            <w:tcW w:w="2311" w:type="dxa"/>
          </w:tcPr>
          <w:p w:rsidR="00540320" w:rsidRPr="0029608A" w:rsidRDefault="00540320" w:rsidP="0079450A">
            <w:pPr>
              <w:rPr>
                <w:rFonts w:ascii="Arial" w:hAnsi="Arial" w:cs="Arial"/>
                <w:sz w:val="22"/>
                <w:szCs w:val="22"/>
                <w:lang w:eastAsia="ja-JP"/>
              </w:rPr>
            </w:pPr>
            <w:r w:rsidRPr="0029608A">
              <w:rPr>
                <w:rFonts w:ascii="Arial" w:hAnsi="Arial" w:cs="Arial"/>
                <w:sz w:val="22"/>
                <w:szCs w:val="22"/>
                <w:lang w:eastAsia="ja-JP"/>
              </w:rPr>
              <w:t>[5]</w:t>
            </w:r>
          </w:p>
        </w:tc>
      </w:tr>
    </w:tbl>
    <w:p w:rsidR="00022E81" w:rsidRPr="00022E81" w:rsidRDefault="00491BB9" w:rsidP="004A619D">
      <w:pPr>
        <w:pStyle w:val="Heading1"/>
        <w:rPr>
          <w:lang w:val="en-GB"/>
        </w:rPr>
      </w:pPr>
      <w:r>
        <w:rPr>
          <w:lang w:val="en-GB"/>
        </w:rPr>
        <w:t>Discussion</w:t>
      </w:r>
    </w:p>
    <w:p w:rsidR="00A952C2" w:rsidRDefault="00BA72EC" w:rsidP="00022E81">
      <w:pPr>
        <w:pStyle w:val="BodyText"/>
      </w:pPr>
      <w:r>
        <w:t xml:space="preserve">The standard deviation of the model is intended to capture two types of variations: the variation of the building penetration loss within a single building and the variation between different but similar buildings. To properly characterize this variation it is important to consider how well different measurements and compilations of measurements capture the two types of variations. </w:t>
      </w:r>
      <w:r w:rsidR="00A5721A" w:rsidRPr="00A5721A">
        <w:rPr>
          <w:szCs w:val="20"/>
        </w:rPr>
        <w:fldChar w:fldCharType="begin"/>
      </w:r>
      <w:r w:rsidR="00A5721A" w:rsidRPr="00A5721A">
        <w:rPr>
          <w:szCs w:val="20"/>
        </w:rPr>
        <w:instrText xml:space="preserve"> REF _Ref445049457 \h  \* MERGEFORMAT </w:instrText>
      </w:r>
      <w:r w:rsidR="00A5721A" w:rsidRPr="00A5721A">
        <w:rPr>
          <w:szCs w:val="20"/>
        </w:rPr>
      </w:r>
      <w:r w:rsidR="00A5721A" w:rsidRPr="00A5721A">
        <w:rPr>
          <w:szCs w:val="20"/>
        </w:rPr>
        <w:fldChar w:fldCharType="separate"/>
      </w:r>
      <w:r w:rsidR="00A5721A" w:rsidRPr="00A5721A">
        <w:rPr>
          <w:szCs w:val="20"/>
          <w:lang w:eastAsia="ja-JP"/>
        </w:rPr>
        <w:t xml:space="preserve">Figure </w:t>
      </w:r>
      <w:r w:rsidR="00A5721A" w:rsidRPr="00A5721A">
        <w:rPr>
          <w:noProof/>
          <w:szCs w:val="20"/>
          <w:lang w:eastAsia="ja-JP"/>
        </w:rPr>
        <w:t>1</w:t>
      </w:r>
      <w:r w:rsidR="00A5721A" w:rsidRPr="00A5721A">
        <w:rPr>
          <w:szCs w:val="20"/>
        </w:rPr>
        <w:fldChar w:fldCharType="end"/>
      </w:r>
      <w:r w:rsidR="00A5721A">
        <w:t xml:space="preserve">, copied from </w:t>
      </w:r>
      <w:r>
        <w:fldChar w:fldCharType="begin"/>
      </w:r>
      <w:r>
        <w:instrText xml:space="preserve"> REF _Ref447138705 \r \h </w:instrText>
      </w:r>
      <w:r>
        <w:fldChar w:fldCharType="separate"/>
      </w:r>
      <w:r>
        <w:t>[1]</w:t>
      </w:r>
      <w:r>
        <w:fldChar w:fldCharType="end"/>
      </w:r>
      <w:r w:rsidR="00A5721A">
        <w:t>, contains a comparison of the model with various measurements</w:t>
      </w:r>
      <w:r>
        <w:t xml:space="preserve">. The error bars represent the variations </w:t>
      </w:r>
      <w:r w:rsidR="00E45317">
        <w:t xml:space="preserve">of measurements </w:t>
      </w:r>
      <w:r>
        <w:t xml:space="preserve">within a single building while the similarly-colored markers represent measurements from buildings </w:t>
      </w:r>
      <w:r w:rsidR="00A5721A">
        <w:t>of the same or similar compositions</w:t>
      </w:r>
      <w:r>
        <w:t xml:space="preserve">. </w:t>
      </w:r>
      <w:r w:rsidR="00A5721A">
        <w:t xml:space="preserve">The heterogeneity of the measurement procedures makes it quite difficult to assess the standard deviation. Nevertheless, an attempt based on the mean value from each measurement has been performed. In this assessment, the measurements from buildings with IRR glass were compared to the high loss model while the measurements from buildings with standard glass were compared to the low loss model. The resulting standard deviations are summarized in </w:t>
      </w:r>
      <w:r w:rsidR="00A952C2">
        <w:fldChar w:fldCharType="begin"/>
      </w:r>
      <w:r w:rsidR="00A952C2">
        <w:instrText xml:space="preserve"> REF _Ref447142832 \h </w:instrText>
      </w:r>
      <w:r w:rsidR="00A952C2">
        <w:fldChar w:fldCharType="separate"/>
      </w:r>
      <w:r w:rsidR="00A952C2">
        <w:t xml:space="preserve">Table </w:t>
      </w:r>
      <w:r w:rsidR="00A952C2">
        <w:rPr>
          <w:noProof/>
        </w:rPr>
        <w:t>1</w:t>
      </w:r>
      <w:r w:rsidR="00A952C2">
        <w:fldChar w:fldCharType="end"/>
      </w:r>
      <w:r w:rsidR="00A5721A">
        <w:t xml:space="preserve">. </w:t>
      </w:r>
    </w:p>
    <w:p w:rsidR="00BA72EC" w:rsidRDefault="00A952C2" w:rsidP="00022E81">
      <w:pPr>
        <w:pStyle w:val="BodyText"/>
      </w:pPr>
      <w:r>
        <w:t xml:space="preserve">The variability within a single building has been assessed only in some of the measurements and is indicated by the error bars in </w:t>
      </w:r>
      <w:r w:rsidRPr="00A952C2">
        <w:rPr>
          <w:szCs w:val="20"/>
        </w:rPr>
        <w:fldChar w:fldCharType="begin"/>
      </w:r>
      <w:r w:rsidRPr="00A952C2">
        <w:rPr>
          <w:szCs w:val="20"/>
        </w:rPr>
        <w:instrText xml:space="preserve"> REF _Ref445049457 \h  \* MERGEFORMAT </w:instrText>
      </w:r>
      <w:r w:rsidRPr="00A952C2">
        <w:rPr>
          <w:szCs w:val="20"/>
        </w:rPr>
      </w:r>
      <w:r w:rsidRPr="00A952C2">
        <w:rPr>
          <w:szCs w:val="20"/>
        </w:rPr>
        <w:fldChar w:fldCharType="separate"/>
      </w:r>
      <w:r w:rsidRPr="00A952C2">
        <w:rPr>
          <w:szCs w:val="20"/>
          <w:lang w:eastAsia="ja-JP"/>
        </w:rPr>
        <w:t xml:space="preserve">Figure </w:t>
      </w:r>
      <w:r w:rsidRPr="00A952C2">
        <w:rPr>
          <w:noProof/>
          <w:szCs w:val="20"/>
          <w:lang w:eastAsia="ja-JP"/>
        </w:rPr>
        <w:t>1</w:t>
      </w:r>
      <w:r w:rsidRPr="00A952C2">
        <w:rPr>
          <w:szCs w:val="20"/>
        </w:rPr>
        <w:fldChar w:fldCharType="end"/>
      </w:r>
      <w:r>
        <w:t xml:space="preserve">, but if this is taken as independent of the variation between measurements then the aggregate standard deviation is likely larger than the values given in </w:t>
      </w:r>
      <w:r>
        <w:fldChar w:fldCharType="begin"/>
      </w:r>
      <w:r>
        <w:instrText xml:space="preserve"> REF _Ref447142832 \h </w:instrText>
      </w:r>
      <w:r>
        <w:fldChar w:fldCharType="separate"/>
      </w:r>
      <w:r>
        <w:t xml:space="preserve">Table </w:t>
      </w:r>
      <w:r>
        <w:rPr>
          <w:noProof/>
        </w:rPr>
        <w:t>1</w:t>
      </w:r>
      <w:r>
        <w:fldChar w:fldCharType="end"/>
      </w:r>
      <w:r>
        <w:t>.</w:t>
      </w:r>
      <w:r w:rsidR="00027425">
        <w:t xml:space="preserve"> </w:t>
      </w:r>
      <w:r>
        <w:t xml:space="preserve">It should be noted for comparison that the shadow fading standard deviation in the 36.873 3D SCM model </w:t>
      </w:r>
      <w:r w:rsidR="00027425">
        <w:fldChar w:fldCharType="begin"/>
      </w:r>
      <w:r w:rsidR="00027425">
        <w:instrText xml:space="preserve"> REF _Ref447143493 \r \h </w:instrText>
      </w:r>
      <w:r w:rsidR="00027425">
        <w:fldChar w:fldCharType="separate"/>
      </w:r>
      <w:r w:rsidR="00027425">
        <w:t>[6]</w:t>
      </w:r>
      <w:r w:rsidR="00027425">
        <w:fldChar w:fldCharType="end"/>
      </w:r>
      <w:r w:rsidR="00027425">
        <w:t xml:space="preserve"> </w:t>
      </w:r>
      <w:r>
        <w:t xml:space="preserve">is 7 dB for the O2I scenario. </w:t>
      </w:r>
      <w:r w:rsidR="00027425">
        <w:t xml:space="preserve">Reusing this value for the present model can be loosely motivated by the combination of variability within and between buildings, and also serves the purpose of ensuring consistency with the &lt; 6GHz channel model previously used. </w:t>
      </w:r>
    </w:p>
    <w:p w:rsidR="00E45317" w:rsidRPr="00A952C2" w:rsidRDefault="00E45317" w:rsidP="00E45317">
      <w:pPr>
        <w:pStyle w:val="BodyText"/>
        <w:rPr>
          <w:b/>
        </w:rPr>
      </w:pPr>
      <w:r w:rsidRPr="00A952C2">
        <w:rPr>
          <w:b/>
        </w:rPr>
        <w:t>Observation 2: The standard deviation of the building penetration loss is of similar magnitude as the 7 dB shadow fading used in the O2I scenario in the 36.873 3D SCM model</w:t>
      </w:r>
      <w:r>
        <w:rPr>
          <w:b/>
        </w:rPr>
        <w:t xml:space="preserve"> </w:t>
      </w:r>
      <w:r>
        <w:rPr>
          <w:b/>
        </w:rPr>
        <w:fldChar w:fldCharType="begin"/>
      </w:r>
      <w:r>
        <w:rPr>
          <w:b/>
        </w:rPr>
        <w:instrText xml:space="preserve"> REF _Ref447143493 \r \h </w:instrText>
      </w:r>
      <w:r>
        <w:rPr>
          <w:b/>
        </w:rPr>
      </w:r>
      <w:r>
        <w:rPr>
          <w:b/>
        </w:rPr>
        <w:fldChar w:fldCharType="separate"/>
      </w:r>
      <w:r>
        <w:rPr>
          <w:b/>
        </w:rPr>
        <w:t>[6]</w:t>
      </w:r>
      <w:r>
        <w:rPr>
          <w:b/>
        </w:rPr>
        <w:fldChar w:fldCharType="end"/>
      </w:r>
      <w:r w:rsidRPr="00A952C2">
        <w:rPr>
          <w:b/>
        </w:rPr>
        <w:t>.</w:t>
      </w:r>
    </w:p>
    <w:p w:rsidR="00E45317" w:rsidRDefault="00E45317" w:rsidP="00022E81">
      <w:pPr>
        <w:pStyle w:val="BodyText"/>
      </w:pPr>
    </w:p>
    <w:p w:rsidR="00BA72EC" w:rsidRPr="0029608A" w:rsidRDefault="00BA72EC" w:rsidP="00BA72EC">
      <w:pPr>
        <w:jc w:val="center"/>
        <w:rPr>
          <w:rFonts w:ascii="Arial" w:hAnsi="Arial" w:cs="Arial"/>
          <w:sz w:val="22"/>
          <w:szCs w:val="22"/>
          <w:lang w:eastAsia="ja-JP"/>
        </w:rPr>
      </w:pPr>
      <w:r w:rsidRPr="0029608A">
        <w:rPr>
          <w:rFonts w:ascii="Arial" w:hAnsi="Arial" w:cs="Arial"/>
          <w:noProof/>
          <w:sz w:val="22"/>
          <w:szCs w:val="22"/>
        </w:rPr>
        <w:lastRenderedPageBreak/>
        <w:drawing>
          <wp:inline distT="0" distB="0" distL="0" distR="0" wp14:anchorId="656D2B7D" wp14:editId="282A5405">
            <wp:extent cx="4175207" cy="3132814"/>
            <wp:effectExtent l="0" t="0" r="0"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81340" cy="3137416"/>
                    </a:xfrm>
                    <a:prstGeom prst="rect">
                      <a:avLst/>
                    </a:prstGeom>
                    <a:noFill/>
                    <a:ln>
                      <a:noFill/>
                    </a:ln>
                    <a:effectLst/>
                    <a:extLst/>
                  </pic:spPr>
                </pic:pic>
              </a:graphicData>
            </a:graphic>
          </wp:inline>
        </w:drawing>
      </w:r>
    </w:p>
    <w:p w:rsidR="00BA72EC" w:rsidRPr="0029608A" w:rsidRDefault="00BA72EC" w:rsidP="00BA72EC">
      <w:pPr>
        <w:pStyle w:val="CommentText"/>
        <w:jc w:val="both"/>
        <w:rPr>
          <w:rFonts w:ascii="Arial" w:hAnsi="Arial" w:cs="Arial"/>
          <w:sz w:val="22"/>
          <w:szCs w:val="22"/>
          <w:lang w:eastAsia="ja-JP"/>
        </w:rPr>
      </w:pPr>
      <w:bookmarkStart w:id="4" w:name="_Ref445049457"/>
      <w:r w:rsidRPr="0029608A">
        <w:rPr>
          <w:rFonts w:ascii="Arial" w:hAnsi="Arial" w:cs="Arial"/>
          <w:sz w:val="22"/>
          <w:szCs w:val="22"/>
          <w:lang w:eastAsia="ja-JP"/>
        </w:rPr>
        <w:t xml:space="preserve">Figure </w:t>
      </w:r>
      <w:r w:rsidRPr="0029608A">
        <w:rPr>
          <w:rFonts w:ascii="Arial" w:hAnsi="Arial" w:cs="Arial"/>
          <w:sz w:val="22"/>
          <w:szCs w:val="22"/>
          <w:lang w:eastAsia="ja-JP"/>
        </w:rPr>
        <w:fldChar w:fldCharType="begin"/>
      </w:r>
      <w:r w:rsidRPr="0029608A">
        <w:rPr>
          <w:rFonts w:ascii="Arial" w:hAnsi="Arial" w:cs="Arial"/>
          <w:sz w:val="22"/>
          <w:szCs w:val="22"/>
          <w:lang w:eastAsia="ja-JP"/>
        </w:rPr>
        <w:instrText xml:space="preserve"> SEQ Figure \* ARABIC </w:instrText>
      </w:r>
      <w:r w:rsidRPr="0029608A">
        <w:rPr>
          <w:rFonts w:ascii="Arial" w:hAnsi="Arial" w:cs="Arial"/>
          <w:sz w:val="22"/>
          <w:szCs w:val="22"/>
          <w:lang w:eastAsia="ja-JP"/>
        </w:rPr>
        <w:fldChar w:fldCharType="separate"/>
      </w:r>
      <w:r>
        <w:rPr>
          <w:rFonts w:ascii="Arial" w:hAnsi="Arial" w:cs="Arial"/>
          <w:noProof/>
          <w:sz w:val="22"/>
          <w:szCs w:val="22"/>
          <w:lang w:eastAsia="ja-JP"/>
        </w:rPr>
        <w:t>1</w:t>
      </w:r>
      <w:r w:rsidRPr="0029608A">
        <w:rPr>
          <w:rFonts w:ascii="Arial" w:hAnsi="Arial" w:cs="Arial"/>
          <w:sz w:val="22"/>
          <w:szCs w:val="22"/>
          <w:lang w:eastAsia="ja-JP"/>
        </w:rPr>
        <w:fldChar w:fldCharType="end"/>
      </w:r>
      <w:bookmarkEnd w:id="4"/>
      <w:r w:rsidRPr="0029608A">
        <w:rPr>
          <w:rFonts w:ascii="Arial" w:hAnsi="Arial" w:cs="Arial"/>
          <w:sz w:val="22"/>
          <w:szCs w:val="22"/>
          <w:lang w:eastAsia="ja-JP"/>
        </w:rPr>
        <w:t xml:space="preserve"> Comparison between the composite penetration loss model for normal incidence and measurements.</w:t>
      </w:r>
      <w:r>
        <w:rPr>
          <w:rFonts w:ascii="Arial" w:hAnsi="Arial" w:cs="Arial"/>
          <w:sz w:val="22"/>
          <w:szCs w:val="22"/>
          <w:lang w:eastAsia="ja-JP"/>
        </w:rPr>
        <w:t xml:space="preserve"> From section 6.3 in [5].</w:t>
      </w:r>
    </w:p>
    <w:p w:rsidR="00BA72EC" w:rsidRDefault="00BA72EC" w:rsidP="00022E81">
      <w:pPr>
        <w:pStyle w:val="BodyText"/>
      </w:pPr>
    </w:p>
    <w:p w:rsidR="00A952C2" w:rsidRDefault="00A952C2" w:rsidP="00A952C2">
      <w:pPr>
        <w:pStyle w:val="Caption"/>
      </w:pPr>
      <w:bookmarkStart w:id="5" w:name="_Ref447142832"/>
      <w:r>
        <w:t xml:space="preserve">Table </w:t>
      </w:r>
      <w:r>
        <w:fldChar w:fldCharType="begin"/>
      </w:r>
      <w:r>
        <w:instrText xml:space="preserve"> SEQ Table \* ARABIC </w:instrText>
      </w:r>
      <w:r>
        <w:fldChar w:fldCharType="separate"/>
      </w:r>
      <w:r>
        <w:rPr>
          <w:noProof/>
        </w:rPr>
        <w:t>1</w:t>
      </w:r>
      <w:r>
        <w:fldChar w:fldCharType="end"/>
      </w:r>
      <w:bookmarkEnd w:id="5"/>
      <w:r>
        <w:t xml:space="preserve"> Standard deviation of building penetration loss models</w:t>
      </w:r>
    </w:p>
    <w:tbl>
      <w:tblPr>
        <w:tblStyle w:val="TableGrid"/>
        <w:tblW w:w="0" w:type="auto"/>
        <w:tblLook w:val="04A0" w:firstRow="1" w:lastRow="0" w:firstColumn="1" w:lastColumn="0" w:noHBand="0" w:noVBand="1"/>
      </w:tblPr>
      <w:tblGrid>
        <w:gridCol w:w="8046"/>
        <w:gridCol w:w="1240"/>
      </w:tblGrid>
      <w:tr w:rsidR="00A952C2" w:rsidTr="0079450A">
        <w:tc>
          <w:tcPr>
            <w:tcW w:w="8046" w:type="dxa"/>
          </w:tcPr>
          <w:p w:rsidR="00A952C2" w:rsidRDefault="00A952C2" w:rsidP="0079450A">
            <w:pPr>
              <w:pStyle w:val="BodyText"/>
            </w:pPr>
            <w:r>
              <w:t>Standard deviation of (“low loss model” – “measurements in buildings with standard glass”) [dB]</w:t>
            </w:r>
          </w:p>
        </w:tc>
        <w:tc>
          <w:tcPr>
            <w:tcW w:w="1240" w:type="dxa"/>
          </w:tcPr>
          <w:p w:rsidR="00A952C2" w:rsidRDefault="00A952C2" w:rsidP="0079450A">
            <w:pPr>
              <w:pStyle w:val="BodyText"/>
            </w:pPr>
            <w:r>
              <w:t>4.4</w:t>
            </w:r>
          </w:p>
        </w:tc>
      </w:tr>
      <w:tr w:rsidR="00A952C2" w:rsidTr="0079450A">
        <w:tc>
          <w:tcPr>
            <w:tcW w:w="8046" w:type="dxa"/>
          </w:tcPr>
          <w:p w:rsidR="00A952C2" w:rsidRDefault="00A952C2" w:rsidP="0079450A">
            <w:pPr>
              <w:pStyle w:val="BodyText"/>
            </w:pPr>
            <w:r>
              <w:t>Standard deviation of (“high loss model” – “measurements in buildings with IRR glass”) [dB]</w:t>
            </w:r>
          </w:p>
        </w:tc>
        <w:tc>
          <w:tcPr>
            <w:tcW w:w="1240" w:type="dxa"/>
          </w:tcPr>
          <w:p w:rsidR="00A952C2" w:rsidRDefault="00A952C2" w:rsidP="0079450A">
            <w:pPr>
              <w:pStyle w:val="BodyText"/>
            </w:pPr>
            <w:r>
              <w:t>6.5</w:t>
            </w:r>
          </w:p>
        </w:tc>
      </w:tr>
    </w:tbl>
    <w:p w:rsidR="00A952C2" w:rsidRDefault="00A952C2" w:rsidP="00022E81">
      <w:pPr>
        <w:pStyle w:val="BodyText"/>
      </w:pPr>
    </w:p>
    <w:p w:rsidR="00FE5799" w:rsidRDefault="00FE5799" w:rsidP="00FE5799">
      <w:pPr>
        <w:pStyle w:val="Heading1"/>
      </w:pPr>
      <w:r>
        <w:t>Conclusion</w:t>
      </w:r>
    </w:p>
    <w:p w:rsidR="00113299" w:rsidRDefault="00027425" w:rsidP="00F062F2">
      <w:pPr>
        <w:pStyle w:val="BodyText"/>
      </w:pPr>
      <w:r>
        <w:t>Based on the discussion above, t</w:t>
      </w:r>
      <w:r w:rsidR="00792F9C">
        <w:t>he following is proposed:</w:t>
      </w:r>
    </w:p>
    <w:p w:rsidR="00027425" w:rsidRDefault="007D6E08" w:rsidP="00792F9C">
      <w:pPr>
        <w:pStyle w:val="BodyText"/>
        <w:rPr>
          <w:b/>
        </w:rPr>
      </w:pPr>
      <w:r>
        <w:rPr>
          <w:b/>
        </w:rPr>
        <w:t>Proposal</w:t>
      </w:r>
      <w:r w:rsidR="00027425">
        <w:rPr>
          <w:b/>
        </w:rPr>
        <w:t>: Use a standard deviation of 7 dB to represent the variation of the building penetration loss</w:t>
      </w:r>
    </w:p>
    <w:p w:rsidR="00E45317" w:rsidRPr="00E45317" w:rsidRDefault="007D6E08" w:rsidP="00792F9C">
      <w:pPr>
        <w:pStyle w:val="BodyText"/>
      </w:pPr>
      <w:r>
        <w:t>This</w:t>
      </w:r>
      <w:r w:rsidR="00E45317">
        <w:t xml:space="preserve"> </w:t>
      </w:r>
      <w:r>
        <w:t>proposal</w:t>
      </w:r>
      <w:r w:rsidR="00E45317">
        <w:t xml:space="preserve"> </w:t>
      </w:r>
      <w:r>
        <w:t>is</w:t>
      </w:r>
      <w:r w:rsidR="00E45317">
        <w:t xml:space="preserve"> captured in the table below.</w:t>
      </w:r>
    </w:p>
    <w:tbl>
      <w:tblPr>
        <w:tblStyle w:val="TableGrid"/>
        <w:tblW w:w="0" w:type="auto"/>
        <w:tblLook w:val="04A0" w:firstRow="1" w:lastRow="0" w:firstColumn="1" w:lastColumn="0" w:noHBand="0" w:noVBand="1"/>
      </w:tblPr>
      <w:tblGrid>
        <w:gridCol w:w="2310"/>
        <w:gridCol w:w="3327"/>
        <w:gridCol w:w="1295"/>
        <w:gridCol w:w="2311"/>
      </w:tblGrid>
      <w:tr w:rsidR="00E45317" w:rsidRPr="0029608A" w:rsidTr="0079450A">
        <w:tc>
          <w:tcPr>
            <w:tcW w:w="2310" w:type="dxa"/>
          </w:tcPr>
          <w:p w:rsidR="00E45317" w:rsidRPr="0029608A" w:rsidRDefault="00E45317" w:rsidP="0079450A">
            <w:pPr>
              <w:rPr>
                <w:rFonts w:ascii="Arial" w:hAnsi="Arial" w:cs="Arial"/>
                <w:sz w:val="22"/>
                <w:szCs w:val="22"/>
                <w:lang w:eastAsia="ja-JP"/>
              </w:rPr>
            </w:pPr>
            <w:r w:rsidRPr="0029608A">
              <w:rPr>
                <w:rFonts w:ascii="Arial" w:hAnsi="Arial" w:cs="Arial"/>
                <w:sz w:val="22"/>
                <w:szCs w:val="22"/>
                <w:lang w:eastAsia="ja-JP"/>
              </w:rPr>
              <w:t> </w:t>
            </w:r>
          </w:p>
        </w:tc>
        <w:tc>
          <w:tcPr>
            <w:tcW w:w="3327" w:type="dxa"/>
          </w:tcPr>
          <w:p w:rsidR="00E45317" w:rsidRPr="0029608A" w:rsidRDefault="00E45317" w:rsidP="0079450A">
            <w:pPr>
              <w:rPr>
                <w:rFonts w:ascii="Arial" w:hAnsi="Arial" w:cs="Arial"/>
                <w:sz w:val="22"/>
                <w:szCs w:val="22"/>
                <w:lang w:eastAsia="ja-JP"/>
              </w:rPr>
            </w:pPr>
            <w:r w:rsidRPr="0029608A">
              <w:rPr>
                <w:rFonts w:ascii="Arial" w:hAnsi="Arial" w:cs="Arial"/>
                <w:sz w:val="22"/>
                <w:szCs w:val="22"/>
                <w:lang w:eastAsia="ja-JP"/>
              </w:rPr>
              <w:t xml:space="preserve">Path loss through external wall: </w:t>
            </w:r>
            <m:oMath>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PL</m:t>
                  </m:r>
                </m:e>
                <m:sub>
                  <m:r>
                    <m:rPr>
                      <m:sty m:val="p"/>
                    </m:rPr>
                    <w:rPr>
                      <w:rFonts w:ascii="Cambria Math" w:hAnsi="Cambria Math" w:cs="Arial"/>
                      <w:sz w:val="22"/>
                      <w:szCs w:val="22"/>
                      <w:lang w:eastAsia="ja-JP"/>
                    </w:rPr>
                    <m:t>tw</m:t>
                  </m:r>
                </m:sub>
              </m:sSub>
            </m:oMath>
            <w:r w:rsidRPr="0029608A">
              <w:rPr>
                <w:rFonts w:ascii="Arial" w:hAnsi="Arial" w:cs="Arial"/>
                <w:sz w:val="22"/>
                <w:szCs w:val="22"/>
                <w:lang w:eastAsia="ja-JP"/>
              </w:rPr>
              <w:t xml:space="preserve"> [dB]</w:t>
            </w:r>
          </w:p>
        </w:tc>
        <w:tc>
          <w:tcPr>
            <w:tcW w:w="1295" w:type="dxa"/>
          </w:tcPr>
          <w:p w:rsidR="00E45317" w:rsidRPr="0029608A" w:rsidRDefault="00E45317" w:rsidP="0079450A">
            <w:pPr>
              <w:rPr>
                <w:rFonts w:ascii="Arial" w:hAnsi="Arial" w:cs="Arial"/>
                <w:sz w:val="22"/>
                <w:szCs w:val="22"/>
                <w:lang w:eastAsia="ja-JP"/>
              </w:rPr>
            </w:pPr>
            <w:r w:rsidRPr="0029608A">
              <w:rPr>
                <w:rFonts w:ascii="Arial" w:hAnsi="Arial" w:cs="Arial"/>
                <w:sz w:val="22"/>
                <w:szCs w:val="22"/>
                <w:lang w:eastAsia="ja-JP"/>
              </w:rPr>
              <w:t xml:space="preserve">Indoor loss: </w:t>
            </w:r>
            <m:oMath>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PL</m:t>
                  </m:r>
                </m:e>
                <m:sub>
                  <m:r>
                    <m:rPr>
                      <m:sty m:val="p"/>
                    </m:rPr>
                    <w:rPr>
                      <w:rFonts w:ascii="Cambria Math" w:hAnsi="Cambria Math" w:cs="Arial"/>
                      <w:sz w:val="22"/>
                      <w:szCs w:val="22"/>
                      <w:lang w:eastAsia="ja-JP"/>
                    </w:rPr>
                    <m:t>in</m:t>
                  </m:r>
                </m:sub>
              </m:sSub>
            </m:oMath>
            <w:r w:rsidRPr="0029608A">
              <w:rPr>
                <w:rFonts w:ascii="Arial" w:hAnsi="Arial" w:cs="Arial"/>
                <w:sz w:val="22"/>
                <w:szCs w:val="22"/>
                <w:lang w:eastAsia="ja-JP"/>
              </w:rPr>
              <w:t xml:space="preserve"> [dB/m]</w:t>
            </w:r>
          </w:p>
        </w:tc>
        <w:tc>
          <w:tcPr>
            <w:tcW w:w="2311" w:type="dxa"/>
          </w:tcPr>
          <w:p w:rsidR="00E45317" w:rsidRPr="0029608A" w:rsidRDefault="00E45317" w:rsidP="0079450A">
            <w:pPr>
              <w:rPr>
                <w:rFonts w:ascii="Arial" w:hAnsi="Arial" w:cs="Arial"/>
                <w:sz w:val="22"/>
                <w:szCs w:val="22"/>
                <w:lang w:eastAsia="ja-JP"/>
              </w:rPr>
            </w:pPr>
            <w:r w:rsidRPr="0029608A">
              <w:rPr>
                <w:rFonts w:ascii="Arial" w:hAnsi="Arial" w:cs="Arial"/>
                <w:sz w:val="22"/>
                <w:szCs w:val="22"/>
                <w:lang w:eastAsia="ja-JP"/>
              </w:rPr>
              <w:t xml:space="preserve">Standard deviation: </w:t>
            </w:r>
            <m:oMath>
              <m:r>
                <m:rPr>
                  <m:sty m:val="p"/>
                </m:rPr>
                <w:rPr>
                  <w:rFonts w:ascii="Cambria Math" w:hAnsi="Cambria Math" w:cs="Arial"/>
                  <w:sz w:val="22"/>
                  <w:szCs w:val="22"/>
                  <w:lang w:eastAsia="ja-JP"/>
                </w:rPr>
                <m:t>σ</m:t>
              </m:r>
            </m:oMath>
            <w:r w:rsidRPr="0029608A">
              <w:rPr>
                <w:rFonts w:ascii="Arial" w:hAnsi="Arial" w:cs="Arial"/>
                <w:sz w:val="22"/>
                <w:szCs w:val="22"/>
                <w:lang w:eastAsia="ja-JP"/>
              </w:rPr>
              <w:t xml:space="preserve"> [dB]</w:t>
            </w:r>
          </w:p>
        </w:tc>
      </w:tr>
      <w:tr w:rsidR="00E45317" w:rsidRPr="0029608A" w:rsidTr="0079450A">
        <w:tc>
          <w:tcPr>
            <w:tcW w:w="2310" w:type="dxa"/>
          </w:tcPr>
          <w:p w:rsidR="00E45317" w:rsidRPr="0029608A" w:rsidRDefault="00E45317" w:rsidP="0079450A">
            <w:pPr>
              <w:rPr>
                <w:rFonts w:ascii="Arial" w:hAnsi="Arial" w:cs="Arial"/>
                <w:sz w:val="22"/>
                <w:szCs w:val="22"/>
                <w:lang w:eastAsia="ja-JP"/>
              </w:rPr>
            </w:pPr>
            <w:r w:rsidRPr="0029608A">
              <w:rPr>
                <w:rFonts w:ascii="Arial" w:hAnsi="Arial" w:cs="Arial"/>
                <w:sz w:val="22"/>
                <w:szCs w:val="22"/>
                <w:lang w:eastAsia="ja-JP"/>
              </w:rPr>
              <w:t>Low loss model</w:t>
            </w:r>
          </w:p>
        </w:tc>
        <w:tc>
          <w:tcPr>
            <w:tcW w:w="3327" w:type="dxa"/>
          </w:tcPr>
          <w:p w:rsidR="00E45317" w:rsidRPr="0029608A" w:rsidRDefault="007D6E08" w:rsidP="0079450A">
            <w:pPr>
              <w:rPr>
                <w:rFonts w:ascii="Arial" w:hAnsi="Arial" w:cs="Arial"/>
                <w:sz w:val="22"/>
                <w:szCs w:val="22"/>
                <w:lang w:eastAsia="ja-JP"/>
              </w:rPr>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tc>
        <w:tc>
          <w:tcPr>
            <w:tcW w:w="1295" w:type="dxa"/>
          </w:tcPr>
          <w:p w:rsidR="00E45317" w:rsidRPr="0029608A" w:rsidRDefault="00E45317" w:rsidP="0079450A">
            <w:pPr>
              <w:rPr>
                <w:rFonts w:ascii="Arial" w:hAnsi="Arial" w:cs="Arial"/>
                <w:sz w:val="22"/>
                <w:szCs w:val="22"/>
                <w:lang w:eastAsia="ja-JP"/>
              </w:rPr>
            </w:pPr>
            <w:r w:rsidRPr="0029608A">
              <w:rPr>
                <w:rFonts w:ascii="Arial" w:hAnsi="Arial" w:cs="Arial"/>
                <w:sz w:val="22"/>
                <w:szCs w:val="22"/>
                <w:lang w:eastAsia="ja-JP"/>
              </w:rPr>
              <w:t>0.5</w:t>
            </w:r>
          </w:p>
        </w:tc>
        <w:tc>
          <w:tcPr>
            <w:tcW w:w="2311" w:type="dxa"/>
          </w:tcPr>
          <w:p w:rsidR="00E45317" w:rsidRPr="00E45317" w:rsidRDefault="00E45317" w:rsidP="0079450A">
            <w:pPr>
              <w:rPr>
                <w:rFonts w:ascii="Arial" w:hAnsi="Arial" w:cs="Arial"/>
                <w:sz w:val="22"/>
                <w:szCs w:val="22"/>
                <w:u w:val="single"/>
                <w:lang w:eastAsia="ja-JP"/>
              </w:rPr>
            </w:pPr>
            <w:r w:rsidRPr="00E45317">
              <w:rPr>
                <w:rFonts w:ascii="Arial" w:hAnsi="Arial" w:cs="Arial"/>
                <w:color w:val="FF0000"/>
                <w:sz w:val="22"/>
                <w:szCs w:val="22"/>
                <w:u w:val="single"/>
                <w:lang w:eastAsia="ja-JP"/>
              </w:rPr>
              <w:t>7</w:t>
            </w:r>
          </w:p>
        </w:tc>
      </w:tr>
      <w:tr w:rsidR="00E45317" w:rsidRPr="0029608A" w:rsidTr="0079450A">
        <w:tc>
          <w:tcPr>
            <w:tcW w:w="2310" w:type="dxa"/>
          </w:tcPr>
          <w:p w:rsidR="00E45317" w:rsidRPr="0029608A" w:rsidRDefault="00E45317" w:rsidP="0079450A">
            <w:pPr>
              <w:rPr>
                <w:rFonts w:ascii="Arial" w:hAnsi="Arial" w:cs="Arial"/>
                <w:sz w:val="22"/>
                <w:szCs w:val="22"/>
                <w:lang w:eastAsia="ja-JP"/>
              </w:rPr>
            </w:pPr>
            <w:r w:rsidRPr="0029608A">
              <w:rPr>
                <w:rFonts w:ascii="Arial" w:hAnsi="Arial" w:cs="Arial"/>
                <w:sz w:val="22"/>
                <w:szCs w:val="22"/>
                <w:lang w:eastAsia="ja-JP"/>
              </w:rPr>
              <w:t>High loss model</w:t>
            </w:r>
          </w:p>
        </w:tc>
        <w:tc>
          <w:tcPr>
            <w:tcW w:w="3327" w:type="dxa"/>
          </w:tcPr>
          <w:p w:rsidR="00E45317" w:rsidRPr="0029608A" w:rsidRDefault="007D6E08" w:rsidP="0079450A">
            <w:pPr>
              <w:rPr>
                <w:rFonts w:ascii="Arial" w:hAnsi="Arial" w:cs="Arial"/>
                <w:sz w:val="22"/>
                <w:szCs w:val="22"/>
                <w:lang w:eastAsia="ja-JP"/>
              </w:rPr>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IRRglass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tc>
        <w:tc>
          <w:tcPr>
            <w:tcW w:w="1295" w:type="dxa"/>
          </w:tcPr>
          <w:p w:rsidR="00E45317" w:rsidRPr="0029608A" w:rsidRDefault="00E45317" w:rsidP="0079450A">
            <w:pPr>
              <w:rPr>
                <w:rFonts w:ascii="Arial" w:hAnsi="Arial" w:cs="Arial"/>
                <w:sz w:val="22"/>
                <w:szCs w:val="22"/>
                <w:lang w:eastAsia="ja-JP"/>
              </w:rPr>
            </w:pPr>
            <w:r w:rsidRPr="0029608A">
              <w:rPr>
                <w:rFonts w:ascii="Arial" w:hAnsi="Arial" w:cs="Arial"/>
                <w:sz w:val="22"/>
                <w:szCs w:val="22"/>
                <w:lang w:eastAsia="ja-JP"/>
              </w:rPr>
              <w:t>0.5</w:t>
            </w:r>
          </w:p>
        </w:tc>
        <w:tc>
          <w:tcPr>
            <w:tcW w:w="2311" w:type="dxa"/>
          </w:tcPr>
          <w:p w:rsidR="00E45317" w:rsidRPr="00E45317" w:rsidRDefault="00E45317" w:rsidP="0079450A">
            <w:pPr>
              <w:rPr>
                <w:rFonts w:ascii="Arial" w:hAnsi="Arial" w:cs="Arial"/>
                <w:sz w:val="22"/>
                <w:szCs w:val="22"/>
                <w:u w:val="single"/>
                <w:lang w:eastAsia="ja-JP"/>
              </w:rPr>
            </w:pPr>
            <w:r w:rsidRPr="00E45317">
              <w:rPr>
                <w:rFonts w:ascii="Arial" w:hAnsi="Arial" w:cs="Arial"/>
                <w:color w:val="FF0000"/>
                <w:sz w:val="22"/>
                <w:szCs w:val="22"/>
                <w:u w:val="single"/>
                <w:lang w:eastAsia="ja-JP"/>
              </w:rPr>
              <w:t>7</w:t>
            </w:r>
          </w:p>
        </w:tc>
      </w:tr>
    </w:tbl>
    <w:p w:rsidR="00E45317" w:rsidRPr="001D0503" w:rsidRDefault="00E45317" w:rsidP="00792F9C">
      <w:pPr>
        <w:pStyle w:val="BodyText"/>
        <w:rPr>
          <w:b/>
        </w:rPr>
      </w:pPr>
    </w:p>
    <w:p w:rsidR="004A619D" w:rsidRPr="00510266" w:rsidRDefault="004A619D" w:rsidP="004A619D">
      <w:pPr>
        <w:pStyle w:val="Heading1"/>
      </w:pPr>
      <w:r w:rsidRPr="00510266">
        <w:t>References</w:t>
      </w:r>
    </w:p>
    <w:p w:rsidR="00113299" w:rsidRDefault="00540320" w:rsidP="00540320">
      <w:pPr>
        <w:numPr>
          <w:ilvl w:val="0"/>
          <w:numId w:val="2"/>
        </w:numPr>
        <w:jc w:val="both"/>
        <w:rPr>
          <w:szCs w:val="20"/>
          <w:lang w:val="it-IT"/>
        </w:rPr>
      </w:pPr>
      <w:bookmarkStart w:id="6" w:name="_Ref447138705"/>
      <w:r>
        <w:rPr>
          <w:szCs w:val="20"/>
          <w:lang w:val="it-IT"/>
        </w:rPr>
        <w:t>3GPP R1-161687, “</w:t>
      </w:r>
      <w:r w:rsidRPr="00540320">
        <w:rPr>
          <w:szCs w:val="20"/>
          <w:lang w:val="it-IT"/>
        </w:rPr>
        <w:t>Building penetration loss modelling</w:t>
      </w:r>
      <w:r>
        <w:rPr>
          <w:szCs w:val="20"/>
          <w:lang w:val="it-IT"/>
        </w:rPr>
        <w:t xml:space="preserve">”, </w:t>
      </w:r>
      <w:r w:rsidRPr="00540320">
        <w:rPr>
          <w:szCs w:val="20"/>
          <w:lang w:val="it-IT"/>
        </w:rPr>
        <w:t>Ericsson, Nokia Networks, AT&amp;T, CMCC, ETRI, Huawei, HiSilicon, Intel, KT Corporation, NTT DOCOMO, Qualcomm, Samsung</w:t>
      </w:r>
      <w:r>
        <w:rPr>
          <w:szCs w:val="20"/>
          <w:lang w:val="it-IT"/>
        </w:rPr>
        <w:t>, March 2016.</w:t>
      </w:r>
      <w:bookmarkEnd w:id="6"/>
    </w:p>
    <w:p w:rsidR="00540320" w:rsidRDefault="00540320" w:rsidP="00540320">
      <w:pPr>
        <w:numPr>
          <w:ilvl w:val="0"/>
          <w:numId w:val="2"/>
        </w:numPr>
        <w:jc w:val="both"/>
        <w:rPr>
          <w:szCs w:val="20"/>
          <w:lang w:val="it-IT"/>
        </w:rPr>
      </w:pPr>
      <w:bookmarkStart w:id="7" w:name="_Ref447138707"/>
      <w:r>
        <w:rPr>
          <w:szCs w:val="20"/>
          <w:lang w:val="it-IT"/>
        </w:rPr>
        <w:t>3GPP R1-161737, “</w:t>
      </w:r>
      <w:r w:rsidRPr="00540320">
        <w:rPr>
          <w:szCs w:val="20"/>
          <w:lang w:val="it-IT"/>
        </w:rPr>
        <w:t>WF on outdoor to indoor propagation</w:t>
      </w:r>
      <w:r>
        <w:rPr>
          <w:szCs w:val="20"/>
          <w:lang w:val="it-IT"/>
        </w:rPr>
        <w:t xml:space="preserve">”, </w:t>
      </w:r>
      <w:r w:rsidRPr="00540320">
        <w:rPr>
          <w:szCs w:val="20"/>
          <w:lang w:val="it-IT"/>
        </w:rPr>
        <w:t>Huawei, HiSilicon, Ericsson</w:t>
      </w:r>
      <w:r>
        <w:rPr>
          <w:szCs w:val="20"/>
          <w:lang w:val="it-IT"/>
        </w:rPr>
        <w:t>, March 2016.</w:t>
      </w:r>
      <w:bookmarkEnd w:id="7"/>
    </w:p>
    <w:p w:rsidR="00291EDC" w:rsidRDefault="00291EDC" w:rsidP="00291EDC">
      <w:pPr>
        <w:numPr>
          <w:ilvl w:val="0"/>
          <w:numId w:val="2"/>
        </w:numPr>
        <w:jc w:val="both"/>
        <w:rPr>
          <w:szCs w:val="20"/>
          <w:lang w:val="it-IT"/>
        </w:rPr>
      </w:pPr>
      <w:bookmarkStart w:id="8" w:name="_Ref447139672"/>
      <w:r>
        <w:rPr>
          <w:szCs w:val="20"/>
          <w:lang w:val="it-IT"/>
        </w:rPr>
        <w:t>E. Damosso, ed. “Digital mobile radio towards future generation systems – COST 231 final report”</w:t>
      </w:r>
      <w:r w:rsidR="009C26E5">
        <w:rPr>
          <w:szCs w:val="20"/>
          <w:lang w:val="it-IT"/>
        </w:rPr>
        <w:t xml:space="preserve"> section 4.6</w:t>
      </w:r>
      <w:r>
        <w:rPr>
          <w:szCs w:val="20"/>
          <w:lang w:val="it-IT"/>
        </w:rPr>
        <w:t xml:space="preserve">, online: </w:t>
      </w:r>
      <w:hyperlink r:id="rId10" w:history="1">
        <w:r w:rsidRPr="005B25DF">
          <w:rPr>
            <w:rStyle w:val="Hyperlink"/>
            <w:szCs w:val="20"/>
            <w:lang w:val="it-IT"/>
          </w:rPr>
          <w:t>http://www.lx.it.pt/cost231/final_report.htm</w:t>
        </w:r>
      </w:hyperlink>
      <w:bookmarkEnd w:id="8"/>
      <w:r>
        <w:rPr>
          <w:szCs w:val="20"/>
          <w:lang w:val="it-IT"/>
        </w:rPr>
        <w:t xml:space="preserve"> </w:t>
      </w:r>
    </w:p>
    <w:p w:rsidR="00291EDC" w:rsidRDefault="00291EDC" w:rsidP="00291EDC">
      <w:pPr>
        <w:numPr>
          <w:ilvl w:val="0"/>
          <w:numId w:val="2"/>
        </w:numPr>
        <w:jc w:val="both"/>
        <w:rPr>
          <w:szCs w:val="20"/>
          <w:lang w:val="it-IT"/>
        </w:rPr>
      </w:pPr>
      <w:bookmarkStart w:id="9" w:name="_Ref447139674"/>
      <w:r>
        <w:rPr>
          <w:szCs w:val="20"/>
          <w:lang w:val="it-IT"/>
        </w:rPr>
        <w:t>Report ITU-R M.2135-1 “</w:t>
      </w:r>
      <w:r w:rsidRPr="00291EDC">
        <w:rPr>
          <w:szCs w:val="20"/>
          <w:lang w:val="it-IT"/>
        </w:rPr>
        <w:t>Guidelines for evaluation of radio interface technologies for IMT-Advanced</w:t>
      </w:r>
      <w:r>
        <w:rPr>
          <w:szCs w:val="20"/>
          <w:lang w:val="it-IT"/>
        </w:rPr>
        <w:t>”, 2009.</w:t>
      </w:r>
      <w:bookmarkEnd w:id="9"/>
    </w:p>
    <w:p w:rsidR="00BA72EC" w:rsidRDefault="00BA72EC" w:rsidP="00BA72EC">
      <w:pPr>
        <w:numPr>
          <w:ilvl w:val="0"/>
          <w:numId w:val="2"/>
        </w:numPr>
        <w:jc w:val="both"/>
        <w:rPr>
          <w:szCs w:val="20"/>
          <w:lang w:val="it-IT"/>
        </w:rPr>
      </w:pPr>
      <w:r w:rsidRPr="00BA72EC">
        <w:rPr>
          <w:szCs w:val="20"/>
          <w:lang w:val="it-IT"/>
        </w:rPr>
        <w:lastRenderedPageBreak/>
        <w:t>Aalto University, AT&amp;T, BUPT, CMCC, Ericsson, Huawei, Intel, KT Corporation, Nokia, NTT DOCOMO, New York University, Qualcomm, Samsung, University of Bristol, University of Southern California, “5G Channel Model for bands u</w:t>
      </w:r>
      <w:r>
        <w:rPr>
          <w:szCs w:val="20"/>
          <w:lang w:val="it-IT"/>
        </w:rPr>
        <w:t xml:space="preserve">p to 100 GHz (v2.0)”, Mar. 2016. Online: </w:t>
      </w:r>
      <w:hyperlink r:id="rId11" w:history="1">
        <w:r w:rsidRPr="005B25DF">
          <w:rPr>
            <w:rStyle w:val="Hyperlink"/>
            <w:szCs w:val="20"/>
            <w:lang w:val="it-IT"/>
          </w:rPr>
          <w:t>http://www.5gworkshops.com/5GCM.html</w:t>
        </w:r>
      </w:hyperlink>
      <w:r w:rsidRPr="00BA72EC">
        <w:rPr>
          <w:szCs w:val="20"/>
          <w:lang w:val="it-IT"/>
        </w:rPr>
        <w:t>.</w:t>
      </w:r>
    </w:p>
    <w:p w:rsidR="00027425" w:rsidRPr="00BA72EC" w:rsidRDefault="00027425" w:rsidP="00027425">
      <w:pPr>
        <w:numPr>
          <w:ilvl w:val="0"/>
          <w:numId w:val="2"/>
        </w:numPr>
        <w:jc w:val="both"/>
        <w:rPr>
          <w:szCs w:val="20"/>
          <w:lang w:val="it-IT"/>
        </w:rPr>
      </w:pPr>
      <w:bookmarkStart w:id="10" w:name="_Ref447143493"/>
      <w:r w:rsidRPr="00027425">
        <w:rPr>
          <w:szCs w:val="20"/>
          <w:lang w:val="it-IT"/>
        </w:rPr>
        <w:t>3GPP TR 36.873 “Study on 3D channel model for LTE”, v12.0.0, June 2015.</w:t>
      </w:r>
      <w:bookmarkEnd w:id="10"/>
    </w:p>
    <w:p w:rsidR="001E2D3C" w:rsidRPr="001E2D3C" w:rsidRDefault="001E2D3C" w:rsidP="001E2D3C">
      <w:pPr>
        <w:pStyle w:val="Caption"/>
      </w:pPr>
    </w:p>
    <w:sectPr w:rsidR="001E2D3C" w:rsidRPr="001E2D3C" w:rsidSect="00540320">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2F6" w:rsidRDefault="004752F6">
      <w:r>
        <w:separator/>
      </w:r>
    </w:p>
  </w:endnote>
  <w:endnote w:type="continuationSeparator" w:id="0">
    <w:p w:rsidR="004752F6" w:rsidRDefault="00475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2F6" w:rsidRDefault="004752F6">
      <w:r>
        <w:separator/>
      </w:r>
    </w:p>
  </w:footnote>
  <w:footnote w:type="continuationSeparator" w:id="0">
    <w:p w:rsidR="004752F6" w:rsidRDefault="004752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57" w:rsidRDefault="004752F6" w:rsidP="00A61E6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F36D960"/>
    <w:lvl w:ilvl="0">
      <w:start w:val="1"/>
      <w:numFmt w:val="decimal"/>
      <w:lvlText w:val="%1"/>
      <w:lvlJc w:val="left"/>
      <w:pPr>
        <w:tabs>
          <w:tab w:val="num" w:pos="0"/>
        </w:tabs>
        <w:ind w:left="2551" w:hanging="1304"/>
      </w:pPr>
      <w:rPr>
        <w:strike w:val="0"/>
        <w:dstrike w:val="0"/>
        <w:u w:val="none"/>
        <w:effect w:val="none"/>
      </w:rPr>
    </w:lvl>
    <w:lvl w:ilvl="1">
      <w:start w:val="1"/>
      <w:numFmt w:val="decimal"/>
      <w:lvlText w:val="%1.%2"/>
      <w:lvlJc w:val="left"/>
      <w:pPr>
        <w:tabs>
          <w:tab w:val="num" w:pos="738"/>
        </w:tabs>
        <w:ind w:left="3289" w:hanging="1304"/>
      </w:pPr>
      <w:rPr>
        <w:strike w:val="0"/>
        <w:dstrike w:val="0"/>
        <w:u w:val="none"/>
        <w:effect w:val="none"/>
        <w:lang w:val="en-US"/>
      </w:rPr>
    </w:lvl>
    <w:lvl w:ilvl="2">
      <w:start w:val="1"/>
      <w:numFmt w:val="decimal"/>
      <w:lvlText w:val="%1.%2.%3"/>
      <w:lvlJc w:val="left"/>
      <w:pPr>
        <w:tabs>
          <w:tab w:val="num" w:pos="13"/>
        </w:tabs>
        <w:ind w:left="2564" w:hanging="1304"/>
      </w:pPr>
      <w:rPr>
        <w:strike w:val="0"/>
        <w:dstrike w:val="0"/>
        <w:u w:val="none"/>
        <w:effect w:val="none"/>
      </w:rPr>
    </w:lvl>
    <w:lvl w:ilvl="3">
      <w:start w:val="1"/>
      <w:numFmt w:val="decimal"/>
      <w:lvlText w:val="%1.%2.%3.%4"/>
      <w:lvlJc w:val="left"/>
      <w:pPr>
        <w:tabs>
          <w:tab w:val="num" w:pos="0"/>
        </w:tabs>
        <w:ind w:left="2551" w:hanging="1304"/>
      </w:pPr>
      <w:rPr>
        <w:strike w:val="0"/>
        <w:dstrike w:val="0"/>
        <w:u w:val="none"/>
        <w:effect w:val="none"/>
        <w:lang w:val="en-GB"/>
      </w:rPr>
    </w:lvl>
    <w:lvl w:ilvl="4">
      <w:start w:val="1"/>
      <w:numFmt w:val="decimal"/>
      <w:lvlText w:val="%1.%2.%3.%4.%5"/>
      <w:lvlJc w:val="left"/>
      <w:pPr>
        <w:tabs>
          <w:tab w:val="num" w:pos="0"/>
        </w:tabs>
        <w:ind w:left="2552" w:hanging="1248"/>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nsid w:val="03C142EA"/>
    <w:multiLevelType w:val="hybridMultilevel"/>
    <w:tmpl w:val="BCD6D3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4CE82E97"/>
    <w:multiLevelType w:val="hybridMultilevel"/>
    <w:tmpl w:val="C122BAC2"/>
    <w:lvl w:ilvl="0" w:tplc="71F0A20A">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5"/>
  </w:num>
  <w:num w:numId="2">
    <w:abstractNumId w:val="3"/>
  </w:num>
  <w:num w:numId="3">
    <w:abstractNumId w:val="2"/>
  </w:num>
  <w:num w:numId="4">
    <w:abstractNumId w:val="4"/>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617C"/>
    <w:rsid w:val="00022E81"/>
    <w:rsid w:val="00027425"/>
    <w:rsid w:val="000318DB"/>
    <w:rsid w:val="00113299"/>
    <w:rsid w:val="001639B5"/>
    <w:rsid w:val="00183BA2"/>
    <w:rsid w:val="001B6B68"/>
    <w:rsid w:val="001B7BA4"/>
    <w:rsid w:val="001D0503"/>
    <w:rsid w:val="001E2D3C"/>
    <w:rsid w:val="00251FF5"/>
    <w:rsid w:val="0026076E"/>
    <w:rsid w:val="002908A9"/>
    <w:rsid w:val="00291EDC"/>
    <w:rsid w:val="002B7D05"/>
    <w:rsid w:val="00360BA6"/>
    <w:rsid w:val="003D5908"/>
    <w:rsid w:val="003F77D0"/>
    <w:rsid w:val="00433BAC"/>
    <w:rsid w:val="004752F6"/>
    <w:rsid w:val="00481DE8"/>
    <w:rsid w:val="00491BB9"/>
    <w:rsid w:val="004A3F44"/>
    <w:rsid w:val="004A619D"/>
    <w:rsid w:val="004E0AB2"/>
    <w:rsid w:val="005040AE"/>
    <w:rsid w:val="00540320"/>
    <w:rsid w:val="005C1A27"/>
    <w:rsid w:val="005F758E"/>
    <w:rsid w:val="00631688"/>
    <w:rsid w:val="00646918"/>
    <w:rsid w:val="00674B92"/>
    <w:rsid w:val="00677E85"/>
    <w:rsid w:val="00695FF4"/>
    <w:rsid w:val="006A286A"/>
    <w:rsid w:val="0072379A"/>
    <w:rsid w:val="00791C6A"/>
    <w:rsid w:val="00792F9C"/>
    <w:rsid w:val="007B3530"/>
    <w:rsid w:val="007D6E08"/>
    <w:rsid w:val="00813455"/>
    <w:rsid w:val="00872E9C"/>
    <w:rsid w:val="00962D32"/>
    <w:rsid w:val="00983A13"/>
    <w:rsid w:val="009C26E5"/>
    <w:rsid w:val="00A55C73"/>
    <w:rsid w:val="00A5721A"/>
    <w:rsid w:val="00A84DD1"/>
    <w:rsid w:val="00A952C2"/>
    <w:rsid w:val="00AF6BC1"/>
    <w:rsid w:val="00B368D9"/>
    <w:rsid w:val="00B51BC5"/>
    <w:rsid w:val="00B66CA0"/>
    <w:rsid w:val="00BA72EC"/>
    <w:rsid w:val="00C1560A"/>
    <w:rsid w:val="00C46A41"/>
    <w:rsid w:val="00C82C6E"/>
    <w:rsid w:val="00DB0C55"/>
    <w:rsid w:val="00E11344"/>
    <w:rsid w:val="00E232CF"/>
    <w:rsid w:val="00E45317"/>
    <w:rsid w:val="00E747B0"/>
    <w:rsid w:val="00F002CD"/>
    <w:rsid w:val="00F062F2"/>
    <w:rsid w:val="00F127D5"/>
    <w:rsid w:val="00F27493"/>
    <w:rsid w:val="00F307F4"/>
    <w:rsid w:val="00F61907"/>
    <w:rsid w:val="00F64E0F"/>
    <w:rsid w:val="00FE579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semiHidden/>
    <w:unhideWhenUsed/>
    <w:rsid w:val="00F062F2"/>
    <w:rPr>
      <w:szCs w:val="20"/>
    </w:rPr>
  </w:style>
  <w:style w:type="character" w:customStyle="1" w:styleId="CommentTextChar">
    <w:name w:val="Comment Text Char"/>
    <w:basedOn w:val="DefaultParagraphFont"/>
    <w:link w:val="CommentText"/>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 w:type="paragraph" w:styleId="Caption">
    <w:name w:val="caption"/>
    <w:basedOn w:val="Normal"/>
    <w:next w:val="Normal"/>
    <w:uiPriority w:val="35"/>
    <w:unhideWhenUsed/>
    <w:qFormat/>
    <w:rsid w:val="00B66CA0"/>
    <w:pPr>
      <w:spacing w:after="200"/>
    </w:pPr>
    <w:rPr>
      <w:b/>
      <w:bCs/>
      <w:color w:val="4F81BD" w:themeColor="accent1"/>
      <w:sz w:val="18"/>
      <w:szCs w:val="18"/>
    </w:rPr>
  </w:style>
  <w:style w:type="paragraph" w:styleId="NormalWeb">
    <w:name w:val="Normal (Web)"/>
    <w:basedOn w:val="Normal"/>
    <w:uiPriority w:val="99"/>
    <w:unhideWhenUsed/>
    <w:rsid w:val="00B66CA0"/>
    <w:pPr>
      <w:spacing w:before="100" w:beforeAutospacing="1" w:after="100" w:afterAutospacing="1"/>
    </w:pPr>
    <w:rPr>
      <w:rFonts w:eastAsiaTheme="minorEastAsia"/>
      <w:sz w:val="24"/>
      <w:lang w:val="en-GB" w:eastAsia="en-GB"/>
    </w:rPr>
  </w:style>
  <w:style w:type="paragraph" w:styleId="FootnoteText">
    <w:name w:val="footnote text"/>
    <w:basedOn w:val="Normal"/>
    <w:link w:val="FootnoteTextChar"/>
    <w:semiHidden/>
    <w:rsid w:val="00F127D5"/>
    <w:pPr>
      <w:ind w:firstLine="202"/>
      <w:jc w:val="both"/>
    </w:pPr>
    <w:rPr>
      <w:sz w:val="16"/>
      <w:szCs w:val="16"/>
    </w:rPr>
  </w:style>
  <w:style w:type="character" w:customStyle="1" w:styleId="FootnoteTextChar">
    <w:name w:val="Footnote Text Char"/>
    <w:basedOn w:val="DefaultParagraphFont"/>
    <w:link w:val="FootnoteText"/>
    <w:semiHidden/>
    <w:rsid w:val="00F127D5"/>
    <w:rPr>
      <w:rFonts w:ascii="Times New Roman" w:eastAsia="Times New Roman" w:hAnsi="Times New Roman" w:cs="Times New Roman"/>
      <w:sz w:val="16"/>
      <w:szCs w:val="16"/>
      <w:lang w:val="en-US"/>
    </w:rPr>
  </w:style>
  <w:style w:type="character" w:styleId="PlaceholderText">
    <w:name w:val="Placeholder Text"/>
    <w:basedOn w:val="DefaultParagraphFont"/>
    <w:uiPriority w:val="99"/>
    <w:semiHidden/>
    <w:rsid w:val="00791C6A"/>
    <w:rPr>
      <w:color w:val="808080"/>
    </w:rPr>
  </w:style>
  <w:style w:type="table" w:styleId="TableGrid">
    <w:name w:val="Table Grid"/>
    <w:basedOn w:val="TableNormal"/>
    <w:uiPriority w:val="59"/>
    <w:rsid w:val="0054032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91ED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semiHidden/>
    <w:unhideWhenUsed/>
    <w:rsid w:val="00F062F2"/>
    <w:rPr>
      <w:szCs w:val="20"/>
    </w:rPr>
  </w:style>
  <w:style w:type="character" w:customStyle="1" w:styleId="CommentTextChar">
    <w:name w:val="Comment Text Char"/>
    <w:basedOn w:val="DefaultParagraphFont"/>
    <w:link w:val="CommentText"/>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 w:type="paragraph" w:styleId="Caption">
    <w:name w:val="caption"/>
    <w:basedOn w:val="Normal"/>
    <w:next w:val="Normal"/>
    <w:uiPriority w:val="35"/>
    <w:unhideWhenUsed/>
    <w:qFormat/>
    <w:rsid w:val="00B66CA0"/>
    <w:pPr>
      <w:spacing w:after="200"/>
    </w:pPr>
    <w:rPr>
      <w:b/>
      <w:bCs/>
      <w:color w:val="4F81BD" w:themeColor="accent1"/>
      <w:sz w:val="18"/>
      <w:szCs w:val="18"/>
    </w:rPr>
  </w:style>
  <w:style w:type="paragraph" w:styleId="NormalWeb">
    <w:name w:val="Normal (Web)"/>
    <w:basedOn w:val="Normal"/>
    <w:uiPriority w:val="99"/>
    <w:unhideWhenUsed/>
    <w:rsid w:val="00B66CA0"/>
    <w:pPr>
      <w:spacing w:before="100" w:beforeAutospacing="1" w:after="100" w:afterAutospacing="1"/>
    </w:pPr>
    <w:rPr>
      <w:rFonts w:eastAsiaTheme="minorEastAsia"/>
      <w:sz w:val="24"/>
      <w:lang w:val="en-GB" w:eastAsia="en-GB"/>
    </w:rPr>
  </w:style>
  <w:style w:type="paragraph" w:styleId="FootnoteText">
    <w:name w:val="footnote text"/>
    <w:basedOn w:val="Normal"/>
    <w:link w:val="FootnoteTextChar"/>
    <w:semiHidden/>
    <w:rsid w:val="00F127D5"/>
    <w:pPr>
      <w:ind w:firstLine="202"/>
      <w:jc w:val="both"/>
    </w:pPr>
    <w:rPr>
      <w:sz w:val="16"/>
      <w:szCs w:val="16"/>
    </w:rPr>
  </w:style>
  <w:style w:type="character" w:customStyle="1" w:styleId="FootnoteTextChar">
    <w:name w:val="Footnote Text Char"/>
    <w:basedOn w:val="DefaultParagraphFont"/>
    <w:link w:val="FootnoteText"/>
    <w:semiHidden/>
    <w:rsid w:val="00F127D5"/>
    <w:rPr>
      <w:rFonts w:ascii="Times New Roman" w:eastAsia="Times New Roman" w:hAnsi="Times New Roman" w:cs="Times New Roman"/>
      <w:sz w:val="16"/>
      <w:szCs w:val="16"/>
      <w:lang w:val="en-US"/>
    </w:rPr>
  </w:style>
  <w:style w:type="character" w:styleId="PlaceholderText">
    <w:name w:val="Placeholder Text"/>
    <w:basedOn w:val="DefaultParagraphFont"/>
    <w:uiPriority w:val="99"/>
    <w:semiHidden/>
    <w:rsid w:val="00791C6A"/>
    <w:rPr>
      <w:color w:val="808080"/>
    </w:rPr>
  </w:style>
  <w:style w:type="table" w:styleId="TableGrid">
    <w:name w:val="Table Grid"/>
    <w:basedOn w:val="TableNormal"/>
    <w:uiPriority w:val="59"/>
    <w:rsid w:val="0054032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91ED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72001">
      <w:bodyDiv w:val="1"/>
      <w:marLeft w:val="0"/>
      <w:marRight w:val="0"/>
      <w:marTop w:val="0"/>
      <w:marBottom w:val="0"/>
      <w:divBdr>
        <w:top w:val="none" w:sz="0" w:space="0" w:color="auto"/>
        <w:left w:val="none" w:sz="0" w:space="0" w:color="auto"/>
        <w:bottom w:val="none" w:sz="0" w:space="0" w:color="auto"/>
        <w:right w:val="none" w:sz="0" w:space="0" w:color="auto"/>
      </w:divBdr>
    </w:div>
    <w:div w:id="104932053">
      <w:bodyDiv w:val="1"/>
      <w:marLeft w:val="0"/>
      <w:marRight w:val="0"/>
      <w:marTop w:val="0"/>
      <w:marBottom w:val="0"/>
      <w:divBdr>
        <w:top w:val="none" w:sz="0" w:space="0" w:color="auto"/>
        <w:left w:val="none" w:sz="0" w:space="0" w:color="auto"/>
        <w:bottom w:val="none" w:sz="0" w:space="0" w:color="auto"/>
        <w:right w:val="none" w:sz="0" w:space="0" w:color="auto"/>
      </w:divBdr>
    </w:div>
    <w:div w:id="260796458">
      <w:bodyDiv w:val="1"/>
      <w:marLeft w:val="0"/>
      <w:marRight w:val="0"/>
      <w:marTop w:val="0"/>
      <w:marBottom w:val="0"/>
      <w:divBdr>
        <w:top w:val="none" w:sz="0" w:space="0" w:color="auto"/>
        <w:left w:val="none" w:sz="0" w:space="0" w:color="auto"/>
        <w:bottom w:val="none" w:sz="0" w:space="0" w:color="auto"/>
        <w:right w:val="none" w:sz="0" w:space="0" w:color="auto"/>
      </w:divBdr>
    </w:div>
    <w:div w:id="264191024">
      <w:bodyDiv w:val="1"/>
      <w:marLeft w:val="0"/>
      <w:marRight w:val="0"/>
      <w:marTop w:val="0"/>
      <w:marBottom w:val="0"/>
      <w:divBdr>
        <w:top w:val="none" w:sz="0" w:space="0" w:color="auto"/>
        <w:left w:val="none" w:sz="0" w:space="0" w:color="auto"/>
        <w:bottom w:val="none" w:sz="0" w:space="0" w:color="auto"/>
        <w:right w:val="none" w:sz="0" w:space="0" w:color="auto"/>
      </w:divBdr>
    </w:div>
    <w:div w:id="747076253">
      <w:bodyDiv w:val="1"/>
      <w:marLeft w:val="0"/>
      <w:marRight w:val="0"/>
      <w:marTop w:val="0"/>
      <w:marBottom w:val="0"/>
      <w:divBdr>
        <w:top w:val="none" w:sz="0" w:space="0" w:color="auto"/>
        <w:left w:val="none" w:sz="0" w:space="0" w:color="auto"/>
        <w:bottom w:val="none" w:sz="0" w:space="0" w:color="auto"/>
        <w:right w:val="none" w:sz="0" w:space="0" w:color="auto"/>
      </w:divBdr>
    </w:div>
    <w:div w:id="1794441561">
      <w:bodyDiv w:val="1"/>
      <w:marLeft w:val="0"/>
      <w:marRight w:val="0"/>
      <w:marTop w:val="0"/>
      <w:marBottom w:val="0"/>
      <w:divBdr>
        <w:top w:val="none" w:sz="0" w:space="0" w:color="auto"/>
        <w:left w:val="none" w:sz="0" w:space="0" w:color="auto"/>
        <w:bottom w:val="none" w:sz="0" w:space="0" w:color="auto"/>
        <w:right w:val="none" w:sz="0" w:space="0" w:color="auto"/>
      </w:divBdr>
    </w:div>
    <w:div w:id="1811556950">
      <w:bodyDiv w:val="1"/>
      <w:marLeft w:val="0"/>
      <w:marRight w:val="0"/>
      <w:marTop w:val="0"/>
      <w:marBottom w:val="0"/>
      <w:divBdr>
        <w:top w:val="none" w:sz="0" w:space="0" w:color="auto"/>
        <w:left w:val="none" w:sz="0" w:space="0" w:color="auto"/>
        <w:bottom w:val="none" w:sz="0" w:space="0" w:color="auto"/>
        <w:right w:val="none" w:sz="0" w:space="0" w:color="auto"/>
      </w:divBdr>
    </w:div>
    <w:div w:id="187395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5gworkshops.com/5GCM.html"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lx.it.pt/cost231/final_report.ht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2EDC1-B016-405B-BAF3-039503A11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798</Words>
  <Characters>4243</Characters>
  <Application>Microsoft Office Word</Application>
  <DocSecurity>0</DocSecurity>
  <Lines>212</Lines>
  <Paragraphs>162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Henrik Asplund</cp:lastModifiedBy>
  <cp:revision>7</cp:revision>
  <dcterms:created xsi:type="dcterms:W3CDTF">2016-03-31T21:24:00Z</dcterms:created>
  <dcterms:modified xsi:type="dcterms:W3CDTF">2016-04-01T12:36:00Z</dcterms:modified>
</cp:coreProperties>
</file>